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Vzorový formulár na odstúpenie od zmluvy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(tento formulár je potrebné vyplniť a vrátiť iba v prípade, že chcete odstúpiť od zmluvy)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pct"/>
        <w:tblLayout w:type="fixed"/>
        <w:tblLook w:val="0600"/>
      </w:tblPr>
      <w:tblGrid>
        <w:gridCol w:w="5610"/>
        <w:gridCol w:w="4590"/>
        <w:tblGridChange w:id="0">
          <w:tblGrid>
            <w:gridCol w:w="5610"/>
            <w:gridCol w:w="45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JĘDRZEJEWSKI MAREK „MARMEX MEBLE”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ul. Leśna 7, 63-648 Słupia pod Kępnem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rtl w:val="0"/>
                </w:rPr>
                <w:t xml:space="preserve">biuro@marmex.pl</w:t>
              </w:r>
            </w:hyperlink>
            <w:r w:rsidDel="00000000" w:rsidR="00000000" w:rsidRPr="00000000">
              <w:rPr>
                <w:rtl w:val="0"/>
              </w:rPr>
              <w:t xml:space="preserve">, www.marmex.pl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right" w:pos="10204.606299212599"/>
        </w:tabs>
        <w:spacing w:after="24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Ja / My(*) týmto informujem / informujem(*) o mojom / našom odstúpení od zmluvy o predaji nasledujúcich položiek(*) zmluvy o dodávke nasledujúcich položiek(*) zmluvy o konkrétnej práci spočívajúcej vo vykonaní nasledujúcich položiek(*) / o poskytnutí nasledujúcej služby(*)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Dátum uzavretia zmluvy(*) / prijatia(*)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Meno a priezvisko spotrebiteľa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Adresa spotrebiteľa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(*) Vymaž ako sa hodí</w:t>
        <w:tab/>
        <w:tab/>
        <w:tab/>
        <w:tab/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09.0" w:type="dxa"/>
        <w:jc w:val="left"/>
        <w:tblInd w:w="56.69291338582678" w:type="pct"/>
        <w:tblLayout w:type="fixed"/>
        <w:tblLook w:val="0600"/>
      </w:tblPr>
      <w:tblGrid>
        <w:gridCol w:w="4821.035433070866"/>
        <w:gridCol w:w="566.9291338582677"/>
        <w:gridCol w:w="4821.035433070866"/>
        <w:tblGridChange w:id="0">
          <w:tblGrid>
            <w:gridCol w:w="4821.035433070866"/>
            <w:gridCol w:w="566.9291338582677"/>
            <w:gridCol w:w="4821.03543307086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223754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3754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23754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DÁTUM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3754" w:space="0" w:sz="6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 SPOTREBITEĽA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(iba ak je formulár odoslaný v papierovej podobe)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uro@marm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